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8ED774">
      <w:pPr>
        <w:jc w:val="center"/>
        <w:rPr>
          <w:rFonts w:ascii="宋体"/>
          <w:b/>
          <w:sz w:val="32"/>
          <w:szCs w:val="32"/>
        </w:rPr>
      </w:pPr>
      <w:bookmarkStart w:id="2" w:name="_GoBack"/>
      <w:bookmarkEnd w:id="2"/>
    </w:p>
    <w:p w14:paraId="6E4AB74D">
      <w:pPr>
        <w:jc w:val="center"/>
        <w:rPr>
          <w:rFonts w:ascii="宋体"/>
          <w:b/>
          <w:sz w:val="32"/>
          <w:szCs w:val="32"/>
        </w:rPr>
      </w:pPr>
    </w:p>
    <w:p w14:paraId="59991F56">
      <w:pPr>
        <w:jc w:val="center"/>
        <w:rPr>
          <w:rFonts w:ascii="宋体"/>
          <w:b/>
          <w:sz w:val="32"/>
          <w:szCs w:val="32"/>
        </w:rPr>
      </w:pPr>
    </w:p>
    <w:p w14:paraId="60175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Calibri" w:eastAsia="黑体" w:cs="宋体"/>
          <w:b/>
          <w:kern w:val="22"/>
          <w:sz w:val="44"/>
          <w:szCs w:val="44"/>
        </w:rPr>
      </w:pPr>
      <w:r>
        <w:rPr>
          <w:rFonts w:hint="eastAsia" w:ascii="黑体" w:hAnsi="Calibri" w:eastAsia="黑体" w:cs="宋体"/>
          <w:b/>
          <w:kern w:val="22"/>
          <w:sz w:val="44"/>
          <w:szCs w:val="44"/>
        </w:rPr>
        <w:t>山西省地方标准</w:t>
      </w:r>
    </w:p>
    <w:p w14:paraId="7057D9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Calibri" w:eastAsia="黑体" w:cs="宋体"/>
          <w:b/>
          <w:kern w:val="22"/>
          <w:sz w:val="44"/>
          <w:szCs w:val="44"/>
        </w:rPr>
      </w:pPr>
      <w:r>
        <w:rPr>
          <w:rFonts w:hint="eastAsia" w:ascii="黑体" w:hAnsi="Calibri" w:eastAsia="黑体" w:cs="宋体"/>
          <w:b/>
          <w:kern w:val="22"/>
          <w:sz w:val="44"/>
          <w:szCs w:val="44"/>
        </w:rPr>
        <w:t>《</w:t>
      </w:r>
      <w:bookmarkStart w:id="0" w:name="OLE_LINK1"/>
      <w:r>
        <w:rPr>
          <w:rFonts w:hint="eastAsia" w:ascii="黑体" w:hAnsi="Calibri" w:eastAsia="黑体" w:cs="宋体"/>
          <w:b/>
          <w:kern w:val="22"/>
          <w:sz w:val="44"/>
          <w:szCs w:val="44"/>
          <w:lang w:eastAsia="zh-CN"/>
        </w:rPr>
        <w:t>设施草莓连茬种植土壤处理</w:t>
      </w:r>
      <w:r>
        <w:rPr>
          <w:rFonts w:hint="eastAsia" w:ascii="黑体" w:hAnsi="Calibri" w:eastAsia="黑体" w:cs="宋体"/>
          <w:b/>
          <w:kern w:val="22"/>
          <w:sz w:val="44"/>
          <w:szCs w:val="44"/>
        </w:rPr>
        <w:t>技术规程</w:t>
      </w:r>
      <w:bookmarkEnd w:id="0"/>
      <w:r>
        <w:rPr>
          <w:rFonts w:hint="eastAsia" w:ascii="黑体" w:hAnsi="Calibri" w:eastAsia="黑体" w:cs="宋体"/>
          <w:b/>
          <w:kern w:val="22"/>
          <w:sz w:val="44"/>
          <w:szCs w:val="44"/>
        </w:rPr>
        <w:t>》</w:t>
      </w:r>
    </w:p>
    <w:p w14:paraId="78268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Calibri" w:eastAsia="黑体" w:cs="宋体"/>
          <w:b/>
          <w:kern w:val="22"/>
          <w:sz w:val="44"/>
          <w:szCs w:val="44"/>
        </w:rPr>
      </w:pPr>
      <w:r>
        <w:rPr>
          <w:rFonts w:hint="eastAsia" w:ascii="黑体" w:hAnsi="Calibri" w:eastAsia="黑体" w:cs="宋体"/>
          <w:b/>
          <w:kern w:val="22"/>
          <w:sz w:val="44"/>
          <w:szCs w:val="44"/>
        </w:rPr>
        <w:t>编制说明</w:t>
      </w:r>
    </w:p>
    <w:p w14:paraId="5D522731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391A1314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24CC85CE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6B429F44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4AFE8A40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68954951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71F86C52">
      <w:pPr>
        <w:ind w:firstLine="643" w:firstLineChars="200"/>
        <w:rPr>
          <w:rFonts w:ascii="仿宋" w:hAnsi="仿宋" w:eastAsia="仿宋"/>
          <w:b/>
          <w:sz w:val="32"/>
          <w:szCs w:val="32"/>
        </w:rPr>
      </w:pPr>
    </w:p>
    <w:p w14:paraId="15D7543D">
      <w:pPr>
        <w:ind w:firstLine="643" w:firstLineChars="200"/>
        <w:jc w:val="center"/>
        <w:rPr>
          <w:rFonts w:ascii="仿宋" w:hAnsi="仿宋" w:eastAsia="仿宋"/>
          <w:b/>
          <w:sz w:val="32"/>
          <w:szCs w:val="32"/>
        </w:rPr>
      </w:pPr>
    </w:p>
    <w:p w14:paraId="0401EE34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3D12B427">
      <w:pPr>
        <w:ind w:firstLine="643" w:firstLineChars="200"/>
        <w:jc w:val="center"/>
        <w:rPr>
          <w:rFonts w:ascii="宋体"/>
          <w:b/>
          <w:sz w:val="32"/>
          <w:szCs w:val="32"/>
        </w:rPr>
      </w:pPr>
    </w:p>
    <w:p w14:paraId="536AEFD3">
      <w:pPr>
        <w:jc w:val="both"/>
        <w:rPr>
          <w:rFonts w:ascii="宋体"/>
          <w:b/>
          <w:sz w:val="32"/>
          <w:szCs w:val="32"/>
        </w:rPr>
      </w:pPr>
    </w:p>
    <w:p w14:paraId="4460A9D7">
      <w:pPr>
        <w:spacing w:line="360" w:lineRule="auto"/>
        <w:jc w:val="center"/>
        <w:rPr>
          <w:rFonts w:ascii="宋体" w:hAnsi="宋体"/>
          <w:b/>
          <w:kern w:val="22"/>
          <w:sz w:val="10"/>
          <w:szCs w:val="10"/>
        </w:rPr>
      </w:pPr>
      <w:r>
        <w:rPr>
          <w:rFonts w:hint="eastAsia" w:ascii="宋体" w:hAnsi="宋体"/>
          <w:b/>
          <w:kern w:val="22"/>
          <w:sz w:val="32"/>
          <w:szCs w:val="32"/>
        </w:rPr>
        <w:t>编制单位：山西农业大学</w:t>
      </w:r>
    </w:p>
    <w:p w14:paraId="3CB7E377"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二〇二</w:t>
      </w:r>
      <w:r>
        <w:rPr>
          <w:rFonts w:hint="eastAsia" w:ascii="宋体" w:hAnsi="宋体"/>
          <w:b/>
          <w:sz w:val="32"/>
          <w:szCs w:val="32"/>
          <w:lang w:eastAsia="zh-CN"/>
        </w:rPr>
        <w:t>四</w:t>
      </w:r>
      <w:r>
        <w:rPr>
          <w:rFonts w:hint="eastAsia" w:ascii="宋体" w:hAnsi="宋体"/>
          <w:b/>
          <w:sz w:val="32"/>
          <w:szCs w:val="32"/>
        </w:rPr>
        <w:t>年</w:t>
      </w:r>
      <w:r>
        <w:rPr>
          <w:rFonts w:hint="default" w:ascii="宋体" w:hAnsi="宋体"/>
          <w:b/>
          <w:sz w:val="32"/>
          <w:szCs w:val="32"/>
          <w:lang w:val="en-US"/>
        </w:rPr>
        <w:t>四</w:t>
      </w:r>
      <w:r>
        <w:rPr>
          <w:rFonts w:hint="eastAsia" w:ascii="宋体" w:hAnsi="宋体"/>
          <w:b/>
          <w:sz w:val="32"/>
          <w:szCs w:val="32"/>
        </w:rPr>
        <w:t>月</w:t>
      </w:r>
    </w:p>
    <w:p w14:paraId="20DE9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/>
          <w:b/>
          <w:sz w:val="32"/>
          <w:szCs w:val="32"/>
        </w:rPr>
      </w:pPr>
    </w:p>
    <w:p w14:paraId="2C05B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32"/>
          <w:szCs w:val="32"/>
          <w:lang w:eastAsia="zh-CN"/>
        </w:rPr>
      </w:pPr>
    </w:p>
    <w:p w14:paraId="32AAD4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b/>
          <w:bCs/>
          <w:sz w:val="32"/>
          <w:szCs w:val="32"/>
          <w:lang w:eastAsia="zh-CN"/>
        </w:rPr>
      </w:pPr>
    </w:p>
    <w:p w14:paraId="3569D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山西省地方标准</w:t>
      </w:r>
    </w:p>
    <w:p w14:paraId="1701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《设施草莓连茬种植土壤处理技术规程》</w:t>
      </w:r>
    </w:p>
    <w:p w14:paraId="52ACE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  <w:lang w:eastAsia="zh-CN"/>
        </w:rPr>
        <w:t>编制说明</w:t>
      </w:r>
    </w:p>
    <w:p w14:paraId="06B930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/>
          <w:b/>
          <w:bCs/>
          <w:sz w:val="30"/>
          <w:szCs w:val="30"/>
          <w:lang w:val="en-US" w:eastAsia="zh-CN"/>
        </w:rPr>
      </w:pPr>
    </w:p>
    <w:p w14:paraId="4536C3A9">
      <w:pPr>
        <w:spacing w:line="360" w:lineRule="auto"/>
        <w:ind w:firstLine="480" w:firstLineChars="200"/>
        <w:outlineLvl w:val="0"/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一、工作简况</w:t>
      </w:r>
    </w:p>
    <w:p w14:paraId="1B6C19CA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b/>
          <w:bCs/>
          <w:sz w:val="24"/>
          <w:szCs w:val="24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仿宋_GB2312" w:hAnsi="宋体" w:eastAsia="仿宋_GB2312"/>
          <w:b w:val="0"/>
          <w:bCs w:val="0"/>
          <w:sz w:val="24"/>
          <w:szCs w:val="24"/>
        </w:rPr>
        <w:t>任务来源</w:t>
      </w:r>
    </w:p>
    <w:p w14:paraId="22B41B8C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按照山西省市场监督管理局关于2022年度省级地方标准复审结论公告（山西省地方标准公告2022年第20号），《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设施草莓连茬种植土壤处理</w:t>
      </w:r>
      <w:r>
        <w:rPr>
          <w:rFonts w:hint="eastAsia" w:ascii="仿宋_GB2312" w:hAnsi="宋体" w:eastAsia="仿宋_GB2312"/>
          <w:sz w:val="24"/>
          <w:szCs w:val="24"/>
        </w:rPr>
        <w:t>技术规程》DB14/T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617</w:t>
      </w:r>
      <w:r>
        <w:rPr>
          <w:rFonts w:hint="eastAsia" w:ascii="仿宋_GB2312" w:hAnsi="宋体" w:eastAsia="仿宋_GB2312"/>
          <w:sz w:val="24"/>
          <w:szCs w:val="24"/>
        </w:rPr>
        <w:t>-201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/>
          <w:sz w:val="24"/>
          <w:szCs w:val="24"/>
        </w:rPr>
        <w:t>被列入山西省地方标准修订计划，本标准由山西省农业标准化技术委员会（SXS/TC19）归口。</w:t>
      </w:r>
    </w:p>
    <w:p w14:paraId="3010FAFD">
      <w:pPr>
        <w:spacing w:line="360" w:lineRule="auto"/>
        <w:ind w:firstLine="480" w:firstLineChars="200"/>
        <w:jc w:val="left"/>
        <w:outlineLvl w:val="1"/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eastAsia="仿宋_GB2312" w:cs="Times New Roman"/>
          <w:b w:val="0"/>
          <w:bCs w:val="0"/>
          <w:sz w:val="24"/>
          <w:szCs w:val="24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lang w:val="en-US" w:eastAsia="zh-CN"/>
        </w:rPr>
        <w:t>起草单位和主要起草人</w:t>
      </w:r>
    </w:p>
    <w:p w14:paraId="248C6D75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  <w:lang w:eastAsia="zh-CN"/>
        </w:rPr>
        <w:t>起草任务由</w:t>
      </w:r>
      <w:r>
        <w:rPr>
          <w:rFonts w:hint="eastAsia" w:ascii="仿宋_GB2312" w:hAnsi="宋体" w:eastAsia="仿宋_GB2312"/>
          <w:sz w:val="24"/>
          <w:szCs w:val="24"/>
        </w:rPr>
        <w:t>山西农业大学、山西师范大学、和顺县农业农村局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承担。</w:t>
      </w:r>
    </w:p>
    <w:p w14:paraId="3645FEA4">
      <w:pPr>
        <w:spacing w:line="360" w:lineRule="auto"/>
        <w:jc w:val="center"/>
        <w:outlineLvl w:val="1"/>
        <w:rPr>
          <w:rFonts w:ascii="仿宋_GB2312" w:hAnsi="宋体" w:eastAsia="仿宋_GB2312"/>
          <w:sz w:val="24"/>
        </w:rPr>
      </w:pPr>
      <w:r>
        <w:rPr>
          <w:rFonts w:ascii="仿宋_GB2312" w:hAnsi="宋体" w:eastAsia="仿宋_GB2312"/>
          <w:sz w:val="24"/>
        </w:rPr>
        <w:t>主要起草人信息</w:t>
      </w:r>
    </w:p>
    <w:tbl>
      <w:tblPr>
        <w:tblStyle w:val="11"/>
        <w:tblW w:w="82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775"/>
        <w:gridCol w:w="1687"/>
        <w:gridCol w:w="3413"/>
        <w:gridCol w:w="1225"/>
      </w:tblGrid>
      <w:tr w14:paraId="5BF90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3A5300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姓名</w:t>
            </w:r>
          </w:p>
        </w:tc>
        <w:tc>
          <w:tcPr>
            <w:tcW w:w="775" w:type="dxa"/>
          </w:tcPr>
          <w:p w14:paraId="06C1C3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性别</w:t>
            </w:r>
          </w:p>
        </w:tc>
        <w:tc>
          <w:tcPr>
            <w:tcW w:w="1687" w:type="dxa"/>
          </w:tcPr>
          <w:p w14:paraId="7EA1E7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职务/职称</w:t>
            </w:r>
          </w:p>
        </w:tc>
        <w:tc>
          <w:tcPr>
            <w:tcW w:w="3413" w:type="dxa"/>
          </w:tcPr>
          <w:p w14:paraId="0BD3767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工作单位</w:t>
            </w:r>
          </w:p>
        </w:tc>
        <w:tc>
          <w:tcPr>
            <w:tcW w:w="1225" w:type="dxa"/>
          </w:tcPr>
          <w:p w14:paraId="4B61ABD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任务分工</w:t>
            </w:r>
          </w:p>
        </w:tc>
      </w:tr>
      <w:tr w14:paraId="02CC2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603F69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聂园军</w:t>
            </w:r>
          </w:p>
        </w:tc>
        <w:tc>
          <w:tcPr>
            <w:tcW w:w="775" w:type="dxa"/>
          </w:tcPr>
          <w:p w14:paraId="6CA15A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</w:tcPr>
          <w:p w14:paraId="323016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220EEF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50BF39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标准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修订</w:t>
            </w:r>
          </w:p>
        </w:tc>
      </w:tr>
      <w:tr w14:paraId="7DBDA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0930102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曹秋芬</w:t>
            </w:r>
          </w:p>
        </w:tc>
        <w:tc>
          <w:tcPr>
            <w:tcW w:w="775" w:type="dxa"/>
          </w:tcPr>
          <w:p w14:paraId="315570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074D8C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研究员</w:t>
            </w:r>
          </w:p>
        </w:tc>
        <w:tc>
          <w:tcPr>
            <w:tcW w:w="3413" w:type="dxa"/>
          </w:tcPr>
          <w:p w14:paraId="4986DE1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37B7D48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  <w:tr w14:paraId="5F717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65CFA7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肖蓉</w:t>
            </w:r>
          </w:p>
        </w:tc>
        <w:tc>
          <w:tcPr>
            <w:tcW w:w="775" w:type="dxa"/>
          </w:tcPr>
          <w:p w14:paraId="0421CDB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02247E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10E6C6C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7F60C12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试验验证</w:t>
            </w:r>
          </w:p>
        </w:tc>
      </w:tr>
      <w:tr w14:paraId="46381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63479E3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陈伟</w:t>
            </w:r>
          </w:p>
        </w:tc>
        <w:tc>
          <w:tcPr>
            <w:tcW w:w="775" w:type="dxa"/>
          </w:tcPr>
          <w:p w14:paraId="5193CF6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</w:tcPr>
          <w:p w14:paraId="527D7D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default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副教授</w:t>
            </w:r>
          </w:p>
        </w:tc>
        <w:tc>
          <w:tcPr>
            <w:tcW w:w="3413" w:type="dxa"/>
          </w:tcPr>
          <w:p w14:paraId="58184E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山西师范大学</w:t>
            </w:r>
          </w:p>
        </w:tc>
        <w:tc>
          <w:tcPr>
            <w:tcW w:w="1225" w:type="dxa"/>
          </w:tcPr>
          <w:p w14:paraId="46EA330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试验验证</w:t>
            </w:r>
          </w:p>
        </w:tc>
      </w:tr>
      <w:tr w14:paraId="7F91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596E42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董艳辉</w:t>
            </w:r>
          </w:p>
        </w:tc>
        <w:tc>
          <w:tcPr>
            <w:tcW w:w="775" w:type="dxa"/>
          </w:tcPr>
          <w:p w14:paraId="0EEB366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</w:tcPr>
          <w:p w14:paraId="0AF69A8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416AD09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22BA6D0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  <w:tr w14:paraId="0EF8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029D0EB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邓舒</w:t>
            </w:r>
          </w:p>
        </w:tc>
        <w:tc>
          <w:tcPr>
            <w:tcW w:w="775" w:type="dxa"/>
          </w:tcPr>
          <w:p w14:paraId="5DEBE49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6C1A607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助理研究员</w:t>
            </w:r>
          </w:p>
        </w:tc>
        <w:tc>
          <w:tcPr>
            <w:tcW w:w="3413" w:type="dxa"/>
          </w:tcPr>
          <w:p w14:paraId="6379103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075095D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  <w:tr w14:paraId="152B4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34E36A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张春芬</w:t>
            </w:r>
          </w:p>
        </w:tc>
        <w:tc>
          <w:tcPr>
            <w:tcW w:w="775" w:type="dxa"/>
          </w:tcPr>
          <w:p w14:paraId="3F49AD5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7F0970A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7C6ACE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2D76236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  <w:tr w14:paraId="318F1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0D78B6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侯丽媛</w:t>
            </w:r>
          </w:p>
        </w:tc>
        <w:tc>
          <w:tcPr>
            <w:tcW w:w="775" w:type="dxa"/>
          </w:tcPr>
          <w:p w14:paraId="52F90A4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04AED8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1E89177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370019A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现场调研</w:t>
            </w:r>
          </w:p>
        </w:tc>
      </w:tr>
      <w:tr w14:paraId="6DD65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4833F2F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李倩</w:t>
            </w:r>
          </w:p>
        </w:tc>
        <w:tc>
          <w:tcPr>
            <w:tcW w:w="775" w:type="dxa"/>
          </w:tcPr>
          <w:p w14:paraId="1410A3D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65D47CA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助理研究员</w:t>
            </w:r>
          </w:p>
        </w:tc>
        <w:tc>
          <w:tcPr>
            <w:tcW w:w="3413" w:type="dxa"/>
          </w:tcPr>
          <w:p w14:paraId="135925E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6860E0C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现场调研</w:t>
            </w:r>
          </w:p>
        </w:tc>
      </w:tr>
      <w:tr w14:paraId="7FAAD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6F396BA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许素红</w:t>
            </w:r>
          </w:p>
        </w:tc>
        <w:tc>
          <w:tcPr>
            <w:tcW w:w="775" w:type="dxa"/>
          </w:tcPr>
          <w:p w14:paraId="2EC98E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51243BB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农艺师</w:t>
            </w:r>
          </w:p>
        </w:tc>
        <w:tc>
          <w:tcPr>
            <w:tcW w:w="3413" w:type="dxa"/>
          </w:tcPr>
          <w:p w14:paraId="5308F61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和顺县农业农村局</w:t>
            </w:r>
          </w:p>
        </w:tc>
        <w:tc>
          <w:tcPr>
            <w:tcW w:w="1225" w:type="dxa"/>
          </w:tcPr>
          <w:p w14:paraId="5756DCB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现场调研</w:t>
            </w:r>
          </w:p>
        </w:tc>
      </w:tr>
      <w:tr w14:paraId="5D02C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6FF0F1D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孟玉平</w:t>
            </w:r>
          </w:p>
        </w:tc>
        <w:tc>
          <w:tcPr>
            <w:tcW w:w="775" w:type="dxa"/>
          </w:tcPr>
          <w:p w14:paraId="184DBD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687" w:type="dxa"/>
          </w:tcPr>
          <w:p w14:paraId="5EA0312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研究员</w:t>
            </w:r>
          </w:p>
        </w:tc>
        <w:tc>
          <w:tcPr>
            <w:tcW w:w="3413" w:type="dxa"/>
          </w:tcPr>
          <w:p w14:paraId="075226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5D86ED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  <w:tr w14:paraId="07D17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</w:tcPr>
          <w:p w14:paraId="254673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程慧</w:t>
            </w:r>
          </w:p>
        </w:tc>
        <w:tc>
          <w:tcPr>
            <w:tcW w:w="775" w:type="dxa"/>
          </w:tcPr>
          <w:p w14:paraId="7AB10035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687" w:type="dxa"/>
          </w:tcPr>
          <w:p w14:paraId="6DE85B9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副研究员</w:t>
            </w:r>
          </w:p>
        </w:tc>
        <w:tc>
          <w:tcPr>
            <w:tcW w:w="3413" w:type="dxa"/>
          </w:tcPr>
          <w:p w14:paraId="2810EB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山西农业大学</w:t>
            </w:r>
          </w:p>
        </w:tc>
        <w:tc>
          <w:tcPr>
            <w:tcW w:w="1225" w:type="dxa"/>
          </w:tcPr>
          <w:p w14:paraId="081D72E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00" w:lineRule="exact"/>
              <w:ind w:left="0" w:right="0"/>
              <w:jc w:val="center"/>
              <w:textAlignment w:val="auto"/>
              <w:outlineLvl w:val="1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标准修订</w:t>
            </w:r>
          </w:p>
        </w:tc>
      </w:tr>
    </w:tbl>
    <w:p w14:paraId="29CFCF0E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二、修订标准的必要性和意义</w:t>
      </w:r>
    </w:p>
    <w:p w14:paraId="542E5086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自20世纪80年代以来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我国的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园艺</w:t>
      </w:r>
      <w:r>
        <w:rPr>
          <w:rFonts w:hint="eastAsia" w:ascii="仿宋_GB2312" w:hAnsi="宋体" w:eastAsia="仿宋_GB2312"/>
          <w:sz w:val="24"/>
          <w:szCs w:val="24"/>
        </w:rPr>
        <w:t>产业发展迅速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已经成为仅次于粮食作物的第二大农作物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设施栽培是利用现代工程技术手段和工业化生产方式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为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园艺作物</w:t>
      </w:r>
      <w:r>
        <w:rPr>
          <w:rFonts w:hint="eastAsia" w:ascii="仿宋_GB2312" w:hAnsi="宋体" w:eastAsia="仿宋_GB2312"/>
          <w:sz w:val="24"/>
          <w:szCs w:val="24"/>
        </w:rPr>
        <w:t>生产提供可控制的适宜生长环境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充分利用土壤、气候和生物潜能。据统计，近几年来我国的设施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园艺</w:t>
      </w:r>
      <w:r>
        <w:rPr>
          <w:rFonts w:hint="eastAsia" w:ascii="仿宋_GB2312" w:hAnsi="宋体" w:eastAsia="仿宋_GB2312"/>
          <w:sz w:val="24"/>
          <w:szCs w:val="24"/>
        </w:rPr>
        <w:t>栽培面积每年以5%的速度递增，成为世界设施园艺面积最大的国家。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草莓</w:t>
      </w:r>
      <w:r>
        <w:rPr>
          <w:rFonts w:hint="eastAsia" w:ascii="仿宋_GB2312" w:hAnsi="宋体" w:eastAsia="仿宋_GB2312"/>
          <w:sz w:val="24"/>
          <w:szCs w:val="24"/>
        </w:rPr>
        <w:t>作为设施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园艺作物</w:t>
      </w:r>
      <w:r>
        <w:rPr>
          <w:rFonts w:hint="eastAsia" w:ascii="仿宋_GB2312" w:hAnsi="宋体" w:eastAsia="仿宋_GB2312"/>
          <w:sz w:val="24"/>
          <w:szCs w:val="24"/>
        </w:rPr>
        <w:t>的重要组成部分之一，由于其经济效益高，越来越受到人们的重视。但是近年来设施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草莓</w:t>
      </w:r>
      <w:r>
        <w:rPr>
          <w:rFonts w:hint="eastAsia" w:ascii="仿宋_GB2312" w:hAnsi="宋体" w:eastAsia="仿宋_GB2312"/>
          <w:sz w:val="24"/>
          <w:szCs w:val="24"/>
        </w:rPr>
        <w:t>栽培受耕地面积的限制和经济利益的驱使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导致集约化程度和复种指数高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、</w:t>
      </w:r>
      <w:r>
        <w:rPr>
          <w:rFonts w:hint="eastAsia" w:ascii="仿宋_GB2312" w:hAnsi="宋体" w:eastAsia="仿宋_GB2312"/>
          <w:sz w:val="24"/>
          <w:szCs w:val="24"/>
        </w:rPr>
        <w:t>种植品种单一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使得棚内形成了一个特殊的生态环境，这种环境难以与外界进行物质和能量的交换、循环及运转，进而导致连作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障碍</w:t>
      </w:r>
      <w:r>
        <w:rPr>
          <w:rFonts w:hint="eastAsia" w:ascii="仿宋_GB2312" w:hAnsi="宋体" w:eastAsia="仿宋_GB2312"/>
          <w:sz w:val="24"/>
          <w:szCs w:val="24"/>
        </w:rPr>
        <w:t>问题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严重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 w14:paraId="15A2B2AA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连作障碍的发生已经严重影响到以设施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草莓</w:t>
      </w:r>
      <w:r>
        <w:rPr>
          <w:rFonts w:hint="eastAsia" w:ascii="仿宋_GB2312" w:hAnsi="宋体" w:eastAsia="仿宋_GB2312"/>
          <w:sz w:val="24"/>
          <w:szCs w:val="24"/>
        </w:rPr>
        <w:t>为代表的设施农业可持续发展，鉴于目前国内外除了轮作、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化学药剂</w:t>
      </w:r>
      <w:r>
        <w:rPr>
          <w:rFonts w:hint="eastAsia" w:ascii="仿宋_GB2312" w:hAnsi="宋体" w:eastAsia="仿宋_GB2312"/>
          <w:sz w:val="24"/>
          <w:szCs w:val="24"/>
        </w:rPr>
        <w:t>处理之外，还没有解决设施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草莓</w:t>
      </w:r>
      <w:r>
        <w:rPr>
          <w:rFonts w:hint="eastAsia" w:ascii="仿宋_GB2312" w:hAnsi="宋体" w:eastAsia="仿宋_GB2312"/>
          <w:sz w:val="24"/>
          <w:szCs w:val="24"/>
        </w:rPr>
        <w:t>连作障害的有效办法。在温室集约化种植的情况下，轮作不利于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保障</w:t>
      </w:r>
      <w:r>
        <w:rPr>
          <w:rFonts w:hint="eastAsia" w:ascii="仿宋_GB2312" w:hAnsi="宋体" w:eastAsia="仿宋_GB2312"/>
          <w:sz w:val="24"/>
          <w:szCs w:val="24"/>
        </w:rPr>
        <w:t>农民的经济收益；化学药剂处理对土壤、人畜和果实都有害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造成的不良后果更加严重。农民迫切希望能够有一套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无需轮作、无需使用化学药剂、简便易学、安全可靠</w:t>
      </w:r>
      <w:r>
        <w:rPr>
          <w:rFonts w:hint="eastAsia" w:ascii="仿宋_GB2312" w:hAnsi="宋体" w:eastAsia="仿宋_GB2312"/>
          <w:sz w:val="24"/>
          <w:szCs w:val="24"/>
        </w:rPr>
        <w:t>的方法。</w:t>
      </w:r>
    </w:p>
    <w:p w14:paraId="1F3139A2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因此，针对特定的栽培条件，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修订</w:t>
      </w:r>
      <w:r>
        <w:rPr>
          <w:rFonts w:hint="eastAsia" w:ascii="仿宋_GB2312" w:hAnsi="宋体" w:eastAsia="仿宋_GB2312"/>
          <w:sz w:val="24"/>
          <w:szCs w:val="24"/>
        </w:rPr>
        <w:t>克服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</w:t>
      </w:r>
      <w:r>
        <w:rPr>
          <w:rFonts w:hint="eastAsia" w:ascii="仿宋_GB2312" w:hAnsi="宋体" w:eastAsia="仿宋_GB2312"/>
          <w:sz w:val="24"/>
          <w:szCs w:val="24"/>
        </w:rPr>
        <w:t>连作障碍的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技术规程，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在2018年标准版本的基础上，删除了规范性引用文件中已经废止的标准，增加新的引用标准；更改了“设施条件”、“土壤处理前准备”、“整地、施肥”、“起垄”、“膜下灌水”、“高温闷棚”、“揭膜晾棚”、“补施复合微生物菌剂”；删除了“定植”；增加了“生产档案”、“附录A”；进一步完善了文本内的框架、结构及内容，规范编制说明框架格式和文字表述。该规程的修订及提出的配套土壤处理过程，</w:t>
      </w:r>
      <w:r>
        <w:rPr>
          <w:rFonts w:hint="eastAsia" w:ascii="仿宋_GB2312" w:hAnsi="宋体" w:eastAsia="仿宋_GB2312"/>
          <w:sz w:val="24"/>
          <w:szCs w:val="24"/>
        </w:rPr>
        <w:t>对设施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草莓乃至设施园艺</w:t>
      </w:r>
      <w:r>
        <w:rPr>
          <w:rFonts w:hint="eastAsia" w:ascii="仿宋_GB2312" w:hAnsi="宋体" w:eastAsia="仿宋_GB2312"/>
          <w:sz w:val="24"/>
          <w:szCs w:val="24"/>
        </w:rPr>
        <w:t>产业的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健康、</w:t>
      </w:r>
      <w:r>
        <w:rPr>
          <w:rFonts w:hint="eastAsia" w:ascii="仿宋_GB2312" w:hAnsi="宋体" w:eastAsia="仿宋_GB2312"/>
          <w:sz w:val="24"/>
          <w:szCs w:val="24"/>
        </w:rPr>
        <w:t>可持续发展具有重要意义。</w:t>
      </w:r>
    </w:p>
    <w:p w14:paraId="1206BA54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三、主要</w:t>
      </w:r>
      <w:r>
        <w:rPr>
          <w:rFonts w:hint="eastAsia" w:ascii="黑体" w:eastAsia="黑体"/>
          <w:sz w:val="24"/>
          <w:szCs w:val="24"/>
          <w:lang w:eastAsia="zh-CN"/>
        </w:rPr>
        <w:t>起草</w:t>
      </w:r>
      <w:r>
        <w:rPr>
          <w:rFonts w:hint="eastAsia" w:ascii="黑体" w:eastAsia="黑体"/>
          <w:sz w:val="24"/>
          <w:szCs w:val="24"/>
        </w:rPr>
        <w:t>工作过程</w:t>
      </w:r>
    </w:p>
    <w:p w14:paraId="1B87AA4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1、成立标准修订工作组</w:t>
      </w:r>
    </w:p>
    <w:p w14:paraId="01B7D706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2022年10-12月，收到山西省市场监督管理局关于2022年度省级地方标准复审结论公告的通知后，山西农业大学成立了标准修订工作组，组织相关起草人，制定了修订工作计划，采取“线上+线下”的方式进行了及时沟通，保证了修订工作的顺利进行。</w:t>
      </w:r>
    </w:p>
    <w:p w14:paraId="50ED36D5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、调研考察</w:t>
      </w:r>
    </w:p>
    <w:p w14:paraId="052167E2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eastAsia="zh-CN"/>
        </w:rPr>
        <w:t>2023年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-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月，工作组</w:t>
      </w:r>
      <w:r>
        <w:rPr>
          <w:rFonts w:hint="eastAsia" w:ascii="仿宋_GB2312" w:hAnsi="宋体" w:eastAsia="仿宋_GB2312"/>
          <w:sz w:val="24"/>
          <w:szCs w:val="24"/>
        </w:rPr>
        <w:t>对我省晋中、临汾、运城等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从事设施草莓种植</w:t>
      </w:r>
      <w:r>
        <w:rPr>
          <w:rFonts w:hint="eastAsia" w:ascii="仿宋_GB2312" w:hAnsi="宋体" w:eastAsia="仿宋_GB2312"/>
          <w:sz w:val="24"/>
          <w:szCs w:val="24"/>
        </w:rPr>
        <w:t>的企业、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合作社</w:t>
      </w:r>
      <w:r>
        <w:rPr>
          <w:rFonts w:hint="eastAsia" w:ascii="仿宋_GB2312" w:hAnsi="宋体" w:eastAsia="仿宋_GB2312"/>
          <w:sz w:val="24"/>
          <w:szCs w:val="24"/>
        </w:rPr>
        <w:t>和农户进行了生产情况实地摸底，调研了各地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设施草莓重茬种植土壤处理</w:t>
      </w:r>
      <w:r>
        <w:rPr>
          <w:rFonts w:hint="eastAsia" w:ascii="仿宋_GB2312" w:hAnsi="宋体" w:eastAsia="仿宋_GB2312"/>
          <w:sz w:val="24"/>
          <w:szCs w:val="24"/>
        </w:rPr>
        <w:t>的做法，取长补短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获得了大量实践经验。</w:t>
      </w:r>
    </w:p>
    <w:p w14:paraId="3E4471CD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3、收集资料</w:t>
      </w:r>
    </w:p>
    <w:p w14:paraId="1BEA65B9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2023年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hAnsi="宋体" w:eastAsia="仿宋_GB2312"/>
          <w:sz w:val="24"/>
          <w:szCs w:val="24"/>
        </w:rPr>
        <w:t>-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/>
          <w:sz w:val="24"/>
          <w:szCs w:val="24"/>
        </w:rPr>
        <w:t>月，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工作组</w:t>
      </w:r>
      <w:r>
        <w:rPr>
          <w:rFonts w:hint="eastAsia" w:ascii="仿宋_GB2312" w:hAnsi="宋体" w:eastAsia="仿宋_GB2312"/>
          <w:sz w:val="24"/>
          <w:szCs w:val="24"/>
        </w:rPr>
        <w:t>查阅了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设施草莓连茬种植</w:t>
      </w:r>
      <w:r>
        <w:rPr>
          <w:rFonts w:hint="eastAsia" w:ascii="仿宋_GB2312" w:hAnsi="宋体" w:eastAsia="仿宋_GB2312"/>
          <w:sz w:val="24"/>
          <w:szCs w:val="24"/>
        </w:rPr>
        <w:t>相关的国家标准、行业标准以及省级地方标准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，还</w:t>
      </w:r>
      <w:r>
        <w:rPr>
          <w:rFonts w:hint="eastAsia" w:ascii="仿宋_GB2312" w:hAnsi="宋体" w:eastAsia="仿宋_GB2312"/>
          <w:sz w:val="24"/>
          <w:szCs w:val="24"/>
        </w:rPr>
        <w:t>收集了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设施草莓连作障碍消减</w:t>
      </w:r>
      <w:r>
        <w:rPr>
          <w:rFonts w:hint="eastAsia" w:ascii="仿宋_GB2312" w:hAnsi="宋体" w:eastAsia="仿宋_GB2312"/>
          <w:sz w:val="24"/>
          <w:szCs w:val="24"/>
        </w:rPr>
        <w:t>相关书籍和研究论文，结合山西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省设施草莓种植茬口安排，</w:t>
      </w:r>
      <w:r>
        <w:rPr>
          <w:rFonts w:hint="eastAsia" w:ascii="仿宋_GB2312" w:hAnsi="宋体" w:eastAsia="仿宋_GB2312"/>
          <w:sz w:val="24"/>
          <w:szCs w:val="24"/>
        </w:rPr>
        <w:t>并参考团队近年来开展的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设施草莓连作障碍克服技术</w:t>
      </w:r>
      <w:r>
        <w:rPr>
          <w:rFonts w:hint="eastAsia" w:ascii="仿宋_GB2312" w:hAnsi="宋体" w:eastAsia="仿宋_GB2312"/>
          <w:sz w:val="24"/>
          <w:szCs w:val="24"/>
        </w:rPr>
        <w:t>的研究结果，归纳总结了我省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设施草莓连茬种植</w:t>
      </w:r>
      <w:r>
        <w:rPr>
          <w:rFonts w:hint="eastAsia" w:ascii="仿宋_GB2312" w:hAnsi="宋体" w:eastAsia="仿宋_GB2312"/>
          <w:sz w:val="24"/>
          <w:szCs w:val="24"/>
        </w:rPr>
        <w:t>中存在的问题并得出相应结论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为本标准修订提供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了理论</w:t>
      </w:r>
      <w:r>
        <w:rPr>
          <w:rFonts w:hint="eastAsia" w:ascii="仿宋_GB2312" w:hAnsi="宋体" w:eastAsia="仿宋_GB2312"/>
          <w:sz w:val="24"/>
          <w:szCs w:val="24"/>
        </w:rPr>
        <w:t>参考。</w:t>
      </w:r>
    </w:p>
    <w:p w14:paraId="0607F8E4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、修订文本</w:t>
      </w:r>
    </w:p>
    <w:p w14:paraId="5C68ADCE">
      <w:pPr>
        <w:spacing w:line="360" w:lineRule="auto"/>
        <w:ind w:firstLine="480" w:firstLineChars="200"/>
        <w:jc w:val="left"/>
        <w:outlineLvl w:val="1"/>
        <w:rPr>
          <w:rFonts w:hint="default" w:ascii="仿宋_GB2312" w:hAnsi="宋体" w:eastAsia="仿宋_GB2312"/>
          <w:sz w:val="24"/>
          <w:szCs w:val="24"/>
          <w:lang w:val="en-US"/>
        </w:rPr>
      </w:pPr>
      <w:r>
        <w:rPr>
          <w:rFonts w:hint="eastAsia" w:ascii="仿宋_GB2312" w:hAnsi="宋体" w:eastAsia="仿宋_GB2312"/>
          <w:sz w:val="24"/>
          <w:szCs w:val="24"/>
          <w:lang w:eastAsia="zh-CN"/>
        </w:rPr>
        <w:t>2023年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-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12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月，工作组征求了山西省园艺产业发展中心、阳曲县山间房种植有限公司、翼城县河云高钙草莓种植专业合作社、曲沃县晋之源农业开发有限公司、运城市盐湖区领鲜堂农业开发有限公司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家单位提出的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条意见，对意见了汇总和讨论，决定采纳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5条意见。</w:t>
      </w:r>
    </w:p>
    <w:p w14:paraId="39CAD78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5、标准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评审</w:t>
      </w:r>
    </w:p>
    <w:p w14:paraId="68A43361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202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月，在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山西省园艺产业发展中心</w:t>
      </w:r>
      <w:r>
        <w:rPr>
          <w:rFonts w:hint="eastAsia" w:ascii="仿宋_GB2312" w:hAnsi="宋体" w:eastAsia="仿宋_GB2312"/>
          <w:sz w:val="24"/>
          <w:szCs w:val="24"/>
        </w:rPr>
        <w:t>会议室，与会专家听取了起草单位对《设施草莓连茬种植土壤处理技术规程》修订情况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的</w:t>
      </w:r>
      <w:r>
        <w:rPr>
          <w:rFonts w:hint="eastAsia" w:ascii="仿宋_GB2312" w:hAnsi="宋体" w:eastAsia="仿宋_GB2312"/>
          <w:sz w:val="24"/>
          <w:szCs w:val="24"/>
        </w:rPr>
        <w:t>汇报，并对标准送审稿和编制说明进行了技术评审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/>
          <w:sz w:val="24"/>
          <w:szCs w:val="24"/>
        </w:rPr>
        <w:t>专家组同意通过，起草单位按照专家组意见修改完善，形成报批稿。</w:t>
      </w:r>
    </w:p>
    <w:p w14:paraId="2083F829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四、修订标准的原则和依据，与现行法律、法规、标准的关系</w:t>
      </w:r>
    </w:p>
    <w:p w14:paraId="21ABCF6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1、合法性原则。本标准根据GB/T 1.1—2020《标准化工作导则  第1部分：标准化文件的结构和起草规则》的规定进行修订，本标准的内容遵循国家有关方针、政策、法规和规章，并且参考了相关国家标准、行业标准和地方标准。</w:t>
      </w:r>
    </w:p>
    <w:p w14:paraId="469FB9B3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2、安全性原则。本标准在修订过程中，采用物理、生物的方法进行设施草莓连茬种植条件下土壤处理，避免使用化学药剂，生产操作上安全可靠。</w:t>
      </w:r>
    </w:p>
    <w:p w14:paraId="04753EC0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3、适用性原则。本标准适用于设施草莓连茬种植条件下土壤处理，具有</w:t>
      </w:r>
      <w:r>
        <w:rPr>
          <w:rFonts w:hint="eastAsia" w:ascii="仿宋_GB2312" w:hAnsi="宋体" w:eastAsia="仿宋_GB2312"/>
          <w:sz w:val="24"/>
          <w:szCs w:val="24"/>
        </w:rPr>
        <w:t>无需轮作、无需使用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化学药剂</w:t>
      </w:r>
      <w:r>
        <w:rPr>
          <w:rFonts w:hint="eastAsia" w:ascii="仿宋_GB2312" w:hAnsi="宋体" w:eastAsia="仿宋_GB2312"/>
          <w:sz w:val="24"/>
          <w:szCs w:val="24"/>
        </w:rPr>
        <w:t>、简便易学、安全可靠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的特点，具有广泛适用性。</w:t>
      </w:r>
    </w:p>
    <w:p w14:paraId="6FF39E4B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4、协调性原则。本标准与相关法律、法规、政策、标准等协调一致。</w:t>
      </w:r>
    </w:p>
    <w:p w14:paraId="2A42E115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5、先进性原则。本标准修订了设施草莓连茬种植土壤处理技术规程，形成一整套绿色、安全的设施草莓连作障碍防控技术，利用太阳能高温杀菌和微生物拮抗病原菌的协同作用，来防控土传病害，提升产量和品质，解决设施草莓连作障碍问题。</w:t>
      </w:r>
    </w:p>
    <w:p w14:paraId="2ECD75F5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本标准与现行法律、法规及标准协调一致、没有冲突。</w:t>
      </w:r>
    </w:p>
    <w:p w14:paraId="35C27E28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五、主要条款的说明，主要技术指标、参数、试验验证的分析、综合论述</w:t>
      </w:r>
    </w:p>
    <w:p w14:paraId="64879A3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标准修订工作组以“合法性、安全性、适应性、协调性和先进性”为修订原则，以文本结构更加合理、表述更加准确、技术指标更加科学为修订目标，从2个方面对文本进行了修订，其中：</w:t>
      </w:r>
    </w:p>
    <w:p w14:paraId="55B4B2A2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1、涉及结构性调整的主要有3项</w:t>
      </w:r>
    </w:p>
    <w:p w14:paraId="5D37C9E8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（1）删除了“定植”（见2018年版的第14章）。</w:t>
      </w:r>
      <w:bookmarkStart w:id="1" w:name="OLE_LINK2"/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修订原因：“定植”不属于土壤处理的操作步骤。</w:t>
      </w:r>
    </w:p>
    <w:bookmarkEnd w:id="1"/>
    <w:p w14:paraId="4A8AA124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（2）增加了“生产档案”（见第8章）。修订原因：建立生产档案，可以更好的记录农家肥、农作物秸秆、微生物菌剂的来源和土壤处理过程。</w:t>
      </w:r>
    </w:p>
    <w:p w14:paraId="2D67E8EC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（3）增加了“附录A”（见附录A）。修订原因：通过附录的形式把生产档案中的表格体现出来。</w:t>
      </w:r>
    </w:p>
    <w:p w14:paraId="064B78B1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2、涉及表述与编辑性修改的主要有8项</w:t>
      </w:r>
    </w:p>
    <w:p w14:paraId="3C4FDE0D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（1）更改了“设施条件”（见第4章）。修订原因：把“棚室类型”、“其它条件”合并表述，逻辑性更强，同时，增加了结构坚固、抗风雪荷载能力强的表述，使得对设施条件的要求更加完整、准确。</w:t>
      </w:r>
    </w:p>
    <w:p w14:paraId="4B5B286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2）更改了“土壤处理前准备”（见第6章）。修订原因：删除了“肥料准备”、增加了“微生物菌剂准备”，土壤处理过程中不涉及使用化学肥料，微生物菌剂在闷棚进行时和闷棚后都会用到，需要在土壤处理前的准备环节给罗列出来。</w:t>
      </w:r>
    </w:p>
    <w:p w14:paraId="65A4A25B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（3）更改了“整地、施肥”（见7.1，2018年版的第7章）。修订原因：把农家肥、农作物秸秆、有机物料腐熟剂的用量进行了量化表述，更改了深耕的深度。</w:t>
      </w:r>
    </w:p>
    <w:p w14:paraId="1C9E1F02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（4）更改了“起垄”（见7.2，2018年版的第8章）。修订原因：把畦改成垄，更改了垄顶宽、垄底宽、垄高，删除了畦底宽，增加了垄间距，使得各参数更加符合生产实际的要求。</w:t>
      </w:r>
    </w:p>
    <w:p w14:paraId="4AD8C877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（5）更改了“膜下灌水”（见7.4，2018年版的第10章）。修订原因：删除了“施加菌剂”，有机物料腐熟剂在“整地、施肥”的过程中已经施用，不需要在这一过程中再施用。</w:t>
      </w:r>
    </w:p>
    <w:p w14:paraId="626EE12B">
      <w:pPr>
        <w:spacing w:line="360" w:lineRule="auto"/>
        <w:ind w:firstLine="480" w:firstLineChars="200"/>
        <w:jc w:val="left"/>
        <w:outlineLvl w:val="1"/>
        <w:rPr>
          <w:rFonts w:hint="default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6）更改了“高温闷棚”（见7.5，2018年版的第11章）。修订原因：删除了灌水覆膜后放置天数，有机物料腐熟剂在“整地、施肥”的过程中适当增加了用量并且已经混匀，不需要在这一步骤中再专门进行定植、增殖；增加了检查土壤水分的时间间隔和晴热天气至少出现的天数，土壤含水量和高温可以提升土壤处理效果。</w:t>
      </w:r>
    </w:p>
    <w:p w14:paraId="0A4F0B32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（7）更改了“揭膜晾棚”（见7.6，2018年版的第12章）。修订原因：明确了通风降温的时间，具有操作性。</w:t>
      </w:r>
    </w:p>
    <w:p w14:paraId="1F6D9C1D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（8）更改了“补施复合微生物菌剂”（见7.7，2018年版的第13章）。修订原因：明确了复合微生物菌剂的用量，具有操作性。</w:t>
      </w:r>
    </w:p>
    <w:p w14:paraId="4D41773A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六、重大意见分歧的处理依据和结果</w:t>
      </w:r>
    </w:p>
    <w:p w14:paraId="185BA229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本标准无重大意见分歧。</w:t>
      </w:r>
    </w:p>
    <w:p w14:paraId="142CA5DE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发送征求意见稿单位数5个，收到征求意见稿回函的单位数5个，收到征求意见稿并提出意见的单位数5个，没有回函的单位数0个，共收到5条意见，采纳5条意见，未采纳0条意见。征求意见汇总处理表见附表。</w:t>
      </w:r>
    </w:p>
    <w:p w14:paraId="2744F886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七、采标情况，是否合规引用或采用国际标准和国外先进标准，以及与国内外同类标准水平的对比情况</w:t>
      </w:r>
    </w:p>
    <w:p w14:paraId="0C2E4D88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本标准没有采用国际标准和国外先进标准。</w:t>
      </w:r>
    </w:p>
    <w:p w14:paraId="7DF945B4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与本标准联系比较紧密的现行地方标准有湖北省地方标准“设施栽培高温闷棚技术规程”（DB42/T 1781—2021）、河北省地方标准“高温闷棚土壤消毒技术规程”（DB13/T 1418—2011）、吉林省地方标准“园艺设施高温闷棚土壤消毒技术规程”（DB 22/T 3384—2022）、辽宁省地方标准“高温闷棚土壤消毒技术规程”（DB21/T 3140—2019）、辽宁省地方标准“温室土壤连作障碍修复技术规程”（DB21/T 3290—2020）、内蒙古自治区地方标准“设施草莓连作土壤处理技术规程”（DB15/T 2716—2022）、内蒙古自治区地方标准“设施土壤抗连作障碍技术规程”（DB15/T 1146—2017）、浙江省地方标准“控制作物连作障碍的土壤处理技术规范”（DB33/T 965—2015）。</w:t>
      </w:r>
    </w:p>
    <w:p w14:paraId="410B56F1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与这些国内同类标准水平相比较，本标准的优势在于以下两方面，一是，土壤处理过程中先起垄、后闷棚，这样有利于增加比表面积，提高闷棚效果；二是，闷棚后所用复合微生物菌剂，具有促生、解磷解钾和防治土传病害的功能，弥补高温造成的土壤微生物“空白”，充分利用有益微生物拮抗病原菌、分解自毒物质、促进根系生长等作用，为下茬设施草莓生长创造有利条件。</w:t>
      </w:r>
    </w:p>
    <w:p w14:paraId="69FAADFE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八、作为推荐性标准的建议及其理由</w:t>
      </w:r>
    </w:p>
    <w:p w14:paraId="7B930F9A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建议将本标准作为推荐性标准。</w:t>
      </w:r>
    </w:p>
    <w:p w14:paraId="6EAE0B61">
      <w:pPr>
        <w:spacing w:line="360" w:lineRule="auto"/>
        <w:ind w:firstLine="480" w:firstLineChars="200"/>
        <w:outlineLvl w:val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九、实施标准的措施建议</w:t>
      </w:r>
    </w:p>
    <w:p w14:paraId="60121C83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1、要深入进行标准的示范推广，在山西省主要设施草莓种植区，建立辐射推广基地，做给农民看、教会农民做，以点带面，通过农民科技培训、组织观摩学习、田间技术指导、建立草莓种植技术微信交流群等方式，使更多农户掌握设施草莓连茬种植土壤处理技术。</w:t>
      </w:r>
    </w:p>
    <w:p w14:paraId="5B1D6B01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2、积极培养能够熟练掌握土壤处理前准备、土壤处理过程的农民技术员，力争主要设施草莓种植区每村至少一到两个技术员，通过技术员的日常排疑解惑，提升农户的科学种植水平。</w:t>
      </w:r>
    </w:p>
    <w:p w14:paraId="3981720C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3、积极争取相关政府部门的项目和政策支持，进一步扩大示范推广面积。</w:t>
      </w:r>
    </w:p>
    <w:p w14:paraId="27A26476">
      <w:pPr>
        <w:spacing w:line="360" w:lineRule="auto"/>
        <w:ind w:firstLine="480" w:firstLineChars="200"/>
        <w:jc w:val="left"/>
        <w:outlineLvl w:val="1"/>
        <w:rPr>
          <w:rFonts w:hint="eastAsia" w:ascii="仿宋_GB2312" w:hAnsi="宋体" w:eastAsia="仿宋_GB2312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4、通过网络、电视、报纸等媒体平台，尤其是微信交流群，加大新技术的宣传推广力度，营造科技兴农的浓厚氛围。</w:t>
      </w:r>
    </w:p>
    <w:p w14:paraId="63B9F099">
      <w:pPr>
        <w:spacing w:line="360" w:lineRule="auto"/>
        <w:ind w:firstLine="480" w:firstLineChars="200"/>
        <w:jc w:val="left"/>
        <w:rPr>
          <w:rFonts w:hint="eastAsia" w:ascii="仿宋_GB2312" w:hAnsi="宋体" w:eastAsia="仿宋_GB2312"/>
          <w:sz w:val="24"/>
        </w:rPr>
      </w:pPr>
    </w:p>
    <w:p w14:paraId="4EE06201">
      <w:pPr>
        <w:snapToGrid w:val="0"/>
        <w:spacing w:line="360" w:lineRule="auto"/>
        <w:jc w:val="center"/>
        <w:rPr>
          <w:rFonts w:ascii="宋体" w:hAnsi="宋体"/>
          <w:sz w:val="44"/>
          <w:szCs w:val="4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titlePg/>
          <w:docGrid w:type="lines" w:linePitch="312" w:charSpace="0"/>
        </w:sectPr>
      </w:pPr>
    </w:p>
    <w:p w14:paraId="59C6F5F1">
      <w:pPr>
        <w:spacing w:line="360" w:lineRule="auto"/>
        <w:jc w:val="center"/>
        <w:rPr>
          <w:rFonts w:hint="eastAsia" w:hAnsi="宋体" w:eastAsia="仿宋"/>
          <w:sz w:val="28"/>
          <w:szCs w:val="28"/>
        </w:rPr>
      </w:pPr>
      <w:r>
        <w:rPr>
          <w:rFonts w:hint="eastAsia" w:hAnsi="宋体" w:eastAsia="仿宋"/>
          <w:sz w:val="28"/>
          <w:szCs w:val="28"/>
        </w:rPr>
        <w:t>《设施</w:t>
      </w:r>
      <w:r>
        <w:rPr>
          <w:rFonts w:hint="eastAsia" w:hAnsi="宋体" w:eastAsia="仿宋"/>
          <w:sz w:val="28"/>
          <w:szCs w:val="28"/>
          <w:lang w:eastAsia="zh-CN"/>
        </w:rPr>
        <w:t>草莓连茬种植土壤处理</w:t>
      </w:r>
      <w:r>
        <w:rPr>
          <w:rFonts w:hint="eastAsia" w:hAnsi="宋体" w:eastAsia="仿宋"/>
          <w:sz w:val="28"/>
          <w:szCs w:val="28"/>
        </w:rPr>
        <w:t>技术规程》地方标准征求意见汇总处理表</w:t>
      </w:r>
    </w:p>
    <w:p w14:paraId="414A7F14">
      <w:pPr>
        <w:spacing w:line="360" w:lineRule="auto"/>
        <w:jc w:val="left"/>
        <w:rPr>
          <w:sz w:val="28"/>
        </w:rPr>
      </w:pPr>
      <w:r>
        <w:rPr>
          <w:rFonts w:hint="eastAsia" w:hAnsi="宋体" w:eastAsia="仿宋"/>
          <w:sz w:val="28"/>
          <w:szCs w:val="28"/>
        </w:rPr>
        <w:t>起草单位：山西农业大学     承办人：</w:t>
      </w:r>
      <w:r>
        <w:rPr>
          <w:rFonts w:hint="eastAsia" w:hAnsi="宋体" w:eastAsia="仿宋"/>
          <w:sz w:val="28"/>
          <w:szCs w:val="28"/>
          <w:lang w:eastAsia="zh-CN"/>
        </w:rPr>
        <w:t>聂园军</w:t>
      </w:r>
      <w:r>
        <w:rPr>
          <w:rFonts w:hint="eastAsia" w:hAnsi="宋体" w:eastAsia="仿宋"/>
          <w:sz w:val="28"/>
          <w:szCs w:val="28"/>
        </w:rPr>
        <w:t xml:space="preserve">  </w:t>
      </w:r>
      <w:r>
        <w:rPr>
          <w:rFonts w:hint="eastAsia" w:hAnsi="宋体" w:eastAsia="仿宋"/>
          <w:sz w:val="28"/>
          <w:szCs w:val="28"/>
          <w:lang w:val="en-US" w:eastAsia="zh-CN"/>
        </w:rPr>
        <w:t xml:space="preserve">   </w:t>
      </w:r>
      <w:r>
        <w:rPr>
          <w:rFonts w:hint="eastAsia" w:hAnsi="宋体" w:eastAsia="仿宋"/>
          <w:sz w:val="28"/>
          <w:szCs w:val="28"/>
        </w:rPr>
        <w:t>联系电话：1</w:t>
      </w:r>
      <w:r>
        <w:rPr>
          <w:rFonts w:hint="eastAsia" w:hAnsi="宋体" w:eastAsia="仿宋"/>
          <w:sz w:val="28"/>
          <w:szCs w:val="28"/>
          <w:lang w:val="en-US" w:eastAsia="zh-CN"/>
        </w:rPr>
        <w:t>8636905379</w:t>
      </w:r>
      <w:r>
        <w:rPr>
          <w:rFonts w:hint="eastAsia" w:hAnsi="宋体" w:eastAsia="仿宋"/>
          <w:sz w:val="28"/>
          <w:szCs w:val="28"/>
        </w:rPr>
        <w:t xml:space="preserve">    </w:t>
      </w:r>
      <w:r>
        <w:rPr>
          <w:rFonts w:hint="eastAsia" w:hAnsi="宋体" w:eastAsia="仿宋"/>
          <w:sz w:val="28"/>
          <w:szCs w:val="28"/>
          <w:lang w:val="en-US" w:eastAsia="zh-CN"/>
        </w:rPr>
        <w:t xml:space="preserve"> </w:t>
      </w:r>
      <w:r>
        <w:rPr>
          <w:rFonts w:hint="eastAsia" w:hAnsi="宋体" w:eastAsia="仿宋"/>
          <w:sz w:val="28"/>
          <w:szCs w:val="28"/>
        </w:rPr>
        <w:t>填写时间：202</w:t>
      </w:r>
      <w:r>
        <w:rPr>
          <w:rFonts w:hint="eastAsia" w:hAnsi="宋体" w:eastAsia="仿宋"/>
          <w:sz w:val="28"/>
          <w:szCs w:val="28"/>
          <w:lang w:val="en-US" w:eastAsia="zh-CN"/>
        </w:rPr>
        <w:t>4</w:t>
      </w:r>
      <w:r>
        <w:rPr>
          <w:rFonts w:hint="eastAsia" w:hAnsi="宋体" w:eastAsia="仿宋"/>
          <w:sz w:val="28"/>
          <w:szCs w:val="28"/>
        </w:rPr>
        <w:t>年</w:t>
      </w:r>
      <w:r>
        <w:rPr>
          <w:rFonts w:hint="eastAsia" w:hAnsi="宋体" w:eastAsia="仿宋"/>
          <w:sz w:val="28"/>
          <w:szCs w:val="28"/>
          <w:lang w:val="en-US" w:eastAsia="zh-CN"/>
        </w:rPr>
        <w:t>1</w:t>
      </w:r>
      <w:r>
        <w:rPr>
          <w:rFonts w:hint="eastAsia" w:hAnsi="宋体" w:eastAsia="仿宋"/>
          <w:sz w:val="28"/>
          <w:szCs w:val="28"/>
        </w:rPr>
        <w:t>月</w:t>
      </w:r>
      <w:r>
        <w:rPr>
          <w:rFonts w:hint="eastAsia" w:hAnsi="宋体" w:eastAsia="仿宋"/>
          <w:sz w:val="28"/>
          <w:szCs w:val="28"/>
          <w:lang w:val="en-US" w:eastAsia="zh-CN"/>
        </w:rPr>
        <w:t>12</w:t>
      </w:r>
      <w:r>
        <w:rPr>
          <w:rFonts w:hint="eastAsia" w:hAnsi="宋体" w:eastAsia="仿宋"/>
          <w:sz w:val="28"/>
          <w:szCs w:val="28"/>
        </w:rPr>
        <w:t>日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2"/>
        <w:gridCol w:w="1203"/>
        <w:gridCol w:w="3570"/>
        <w:gridCol w:w="2386"/>
        <w:gridCol w:w="1923"/>
        <w:gridCol w:w="3866"/>
      </w:tblGrid>
      <w:tr w14:paraId="63F7B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2" w:type="dxa"/>
            <w:vAlign w:val="center"/>
          </w:tcPr>
          <w:p w14:paraId="03EE359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203" w:type="dxa"/>
            <w:vAlign w:val="center"/>
          </w:tcPr>
          <w:p w14:paraId="3F38BFB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标准</w:t>
            </w:r>
          </w:p>
          <w:p w14:paraId="14E9D4A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章条编号</w:t>
            </w:r>
          </w:p>
        </w:tc>
        <w:tc>
          <w:tcPr>
            <w:tcW w:w="3570" w:type="dxa"/>
            <w:vAlign w:val="center"/>
          </w:tcPr>
          <w:p w14:paraId="5AA8E5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意见内容</w:t>
            </w:r>
          </w:p>
        </w:tc>
        <w:tc>
          <w:tcPr>
            <w:tcW w:w="2386" w:type="dxa"/>
            <w:vAlign w:val="center"/>
          </w:tcPr>
          <w:p w14:paraId="273D18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提出单位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（或个人）</w:t>
            </w:r>
          </w:p>
        </w:tc>
        <w:tc>
          <w:tcPr>
            <w:tcW w:w="1923" w:type="dxa"/>
            <w:vAlign w:val="center"/>
          </w:tcPr>
          <w:p w14:paraId="707F87E4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处理意见</w:t>
            </w:r>
          </w:p>
          <w:p w14:paraId="11B881A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（采纳/不采纳）</w:t>
            </w:r>
          </w:p>
        </w:tc>
        <w:tc>
          <w:tcPr>
            <w:tcW w:w="3866" w:type="dxa"/>
            <w:vAlign w:val="center"/>
          </w:tcPr>
          <w:p w14:paraId="6030016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意见处理说明</w:t>
            </w:r>
          </w:p>
          <w:p w14:paraId="63A401B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（不采纳的理由等）</w:t>
            </w:r>
          </w:p>
        </w:tc>
      </w:tr>
      <w:tr w14:paraId="73C5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782" w:type="dxa"/>
            <w:vAlign w:val="center"/>
          </w:tcPr>
          <w:p w14:paraId="58F38B0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203" w:type="dxa"/>
            <w:vAlign w:val="center"/>
          </w:tcPr>
          <w:p w14:paraId="74D1237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570" w:type="dxa"/>
            <w:vAlign w:val="center"/>
          </w:tcPr>
          <w:p w14:paraId="0B3B5E1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更改“设施条件”中的内容。</w:t>
            </w:r>
          </w:p>
        </w:tc>
        <w:tc>
          <w:tcPr>
            <w:tcW w:w="2386" w:type="dxa"/>
            <w:vAlign w:val="center"/>
          </w:tcPr>
          <w:p w14:paraId="673EFFD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山西省园艺产业发展中心</w:t>
            </w:r>
          </w:p>
        </w:tc>
        <w:tc>
          <w:tcPr>
            <w:tcW w:w="1923" w:type="dxa"/>
            <w:vAlign w:val="center"/>
          </w:tcPr>
          <w:p w14:paraId="0596838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采纳</w:t>
            </w:r>
          </w:p>
        </w:tc>
        <w:tc>
          <w:tcPr>
            <w:tcW w:w="3866" w:type="dxa"/>
            <w:vAlign w:val="center"/>
          </w:tcPr>
          <w:p w14:paraId="72981349">
            <w:pPr>
              <w:pStyle w:val="27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300" w:lineRule="auto"/>
              <w:ind w:left="0" w:leftChars="0" w:right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“棚室类型”、“其它条件”合并更改为“设施条件”。</w:t>
            </w:r>
          </w:p>
        </w:tc>
      </w:tr>
      <w:tr w14:paraId="13ABB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82" w:type="dxa"/>
            <w:vAlign w:val="center"/>
          </w:tcPr>
          <w:p w14:paraId="76543A90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203" w:type="dxa"/>
            <w:vAlign w:val="center"/>
          </w:tcPr>
          <w:p w14:paraId="16CD8E5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570" w:type="dxa"/>
            <w:vAlign w:val="center"/>
          </w:tcPr>
          <w:p w14:paraId="4343981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更改“土壤处理时间”中的内容。</w:t>
            </w:r>
          </w:p>
        </w:tc>
        <w:tc>
          <w:tcPr>
            <w:tcW w:w="2386" w:type="dxa"/>
            <w:vAlign w:val="center"/>
          </w:tcPr>
          <w:p w14:paraId="51C98EC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阳曲县山间房种植有限公司</w:t>
            </w:r>
          </w:p>
        </w:tc>
        <w:tc>
          <w:tcPr>
            <w:tcW w:w="1923" w:type="dxa"/>
            <w:vAlign w:val="center"/>
          </w:tcPr>
          <w:p w14:paraId="301219BE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采纳</w:t>
            </w:r>
          </w:p>
        </w:tc>
        <w:tc>
          <w:tcPr>
            <w:tcW w:w="3866" w:type="dxa"/>
            <w:vAlign w:val="center"/>
          </w:tcPr>
          <w:p w14:paraId="7ADB8941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pacing w:before="0" w:beforeAutospacing="0" w:after="0" w:afterAutospacing="0" w:line="300" w:lineRule="auto"/>
              <w:ind w:left="0" w:leftChars="0" w:right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土壤处理时间改为每年7、8月份。</w:t>
            </w:r>
          </w:p>
        </w:tc>
      </w:tr>
      <w:tr w14:paraId="15F4A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2" w:type="dxa"/>
            <w:vAlign w:val="center"/>
          </w:tcPr>
          <w:p w14:paraId="4F09721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203" w:type="dxa"/>
            <w:vAlign w:val="center"/>
          </w:tcPr>
          <w:p w14:paraId="1CF83BC5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3570" w:type="dxa"/>
            <w:vAlign w:val="center"/>
          </w:tcPr>
          <w:p w14:paraId="1452309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更改“有机物料准备”中的内容。</w:t>
            </w:r>
          </w:p>
        </w:tc>
        <w:tc>
          <w:tcPr>
            <w:tcW w:w="2386" w:type="dxa"/>
            <w:vAlign w:val="center"/>
          </w:tcPr>
          <w:p w14:paraId="3A61B9E1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翼城县河云高钙草莓种植专业合作社</w:t>
            </w:r>
          </w:p>
        </w:tc>
        <w:tc>
          <w:tcPr>
            <w:tcW w:w="1923" w:type="dxa"/>
            <w:vAlign w:val="center"/>
          </w:tcPr>
          <w:p w14:paraId="3FF3C8DF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采纳</w:t>
            </w:r>
          </w:p>
        </w:tc>
        <w:tc>
          <w:tcPr>
            <w:tcW w:w="3866" w:type="dxa"/>
            <w:vAlign w:val="center"/>
          </w:tcPr>
          <w:p w14:paraId="49750114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pacing w:before="0" w:beforeAutospacing="0" w:after="0" w:afterAutospacing="0" w:line="300" w:lineRule="auto"/>
              <w:ind w:left="0" w:right="0" w:firstLine="0" w:firstLineChars="0"/>
              <w:textAlignment w:val="auto"/>
              <w:rPr>
                <w:rFonts w:hint="eastAsia" w:ascii="仿宋" w:hAnsi="仿宋" w:eastAsia="宋体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农家肥用量改为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73449290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73449290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73449290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2127980003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2127980003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2127980003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kg/667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977118719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977118719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977118719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m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～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55830654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55830654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55830654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00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301506342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301506342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301506342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kg/667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525628645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525628645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525628645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m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superscript"/>
              </w:rPr>
              <w:t>2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vertAlign w:val="baseline"/>
                <w:lang w:val="en-US" w:eastAsia="zh-CN"/>
              </w:rPr>
              <w:t>。</w:t>
            </w:r>
          </w:p>
        </w:tc>
      </w:tr>
      <w:tr w14:paraId="2FFE3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97E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AD9BD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783AA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更改“起垄”中的内容。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FE52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运城市盐湖区领鲜堂农业开发有限公司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EBD09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采纳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9A149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pacing w:before="0" w:beforeAutospacing="0" w:after="0" w:afterAutospacing="0" w:line="300" w:lineRule="auto"/>
              <w:ind w:left="0" w:right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修改起垄的参数为垄顶宽40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64252981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6425298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64252981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cm～45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34342984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3434298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34342984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cm，垄底宽60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4996510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49965106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49965106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　cm～65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22606136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22606136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22606136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cm，垄高30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692363612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692363612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692363612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cm～35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50426032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5042603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504260328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cm，垄间距85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301542745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30154274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301542745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cm～90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794002631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spacing w:val="0"/>
                <w:w w:val="15"/>
                <w:kern w:val="0"/>
                <w:sz w:val="24"/>
                <w:szCs w:val="24"/>
                <w:fitText w:val="51" w:id="179400263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pacing w:val="-19"/>
                <w:w w:val="15"/>
                <w:kern w:val="0"/>
                <w:sz w:val="24"/>
                <w:szCs w:val="24"/>
                <w:fitText w:val="51" w:id="1794002631"/>
                <w:lang w:val="en-US" w:eastAsia="zh-CN" w:bidi="ar-SA"/>
              </w:rPr>
              <w:t>　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cm。</w:t>
            </w:r>
          </w:p>
        </w:tc>
      </w:tr>
      <w:tr w14:paraId="41903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87D06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893C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7.4</w:t>
            </w:r>
          </w:p>
        </w:tc>
        <w:tc>
          <w:tcPr>
            <w:tcW w:w="3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76474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更改“膜下灌水”中的内容。</w:t>
            </w:r>
          </w:p>
        </w:tc>
        <w:tc>
          <w:tcPr>
            <w:tcW w:w="2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4B57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曲沃县晋之源农业开发有限公司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C2B13">
            <w:pPr>
              <w:keepNext w:val="0"/>
              <w:keepLines w:val="0"/>
              <w:pageBreakBefore w:val="0"/>
              <w:suppressLineNumbers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采纳</w:t>
            </w:r>
          </w:p>
        </w:tc>
        <w:tc>
          <w:tcPr>
            <w:tcW w:w="3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E096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 w:val="0"/>
              <w:spacing w:before="0" w:beforeAutospacing="0" w:after="0" w:afterAutospacing="0" w:line="300" w:lineRule="auto"/>
              <w:ind w:left="0" w:right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删除施加菌剂的表述。</w:t>
            </w:r>
          </w:p>
        </w:tc>
      </w:tr>
      <w:tr w14:paraId="2A68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73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4A526">
            <w:pPr>
              <w:pStyle w:val="18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beforeAutospacing="0" w:after="0" w:afterAutospacing="0" w:line="300" w:lineRule="auto"/>
              <w:ind w:left="0" w:right="0" w:firstLine="0" w:firstLineChars="0"/>
              <w:textAlignment w:val="auto"/>
              <w:rPr>
                <w:rFonts w:hint="eastAsia" w:ascii="Times New Roman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 w:ascii="Times New Roman"/>
                <w:kern w:val="2"/>
                <w:sz w:val="28"/>
                <w:szCs w:val="28"/>
                <w:lang w:eastAsia="zh-CN"/>
              </w:rPr>
              <w:t>说明：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发送征求意见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稿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单位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数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个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，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收到征求意见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稿回函的单位数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5个，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收到征求意见稿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并提出意见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的单位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数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个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，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没有回函的单位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数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0个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，共收到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5条意见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，采纳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条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eastAsia="zh-CN"/>
              </w:rPr>
              <w:t>意见，未采纳</w:t>
            </w:r>
            <w:r>
              <w:rPr>
                <w:rFonts w:hint="eastAsia" w:hAnsi="宋体" w:eastAsia="仿宋"/>
                <w:kern w:val="2"/>
                <w:sz w:val="28"/>
                <w:szCs w:val="28"/>
                <w:lang w:val="en-US" w:eastAsia="zh-CN"/>
              </w:rPr>
              <w:t>0条意见</w:t>
            </w:r>
            <w:r>
              <w:rPr>
                <w:rFonts w:hint="eastAsia" w:hAnsi="宋体" w:eastAsia="仿宋"/>
                <w:kern w:val="2"/>
                <w:sz w:val="28"/>
                <w:szCs w:val="28"/>
              </w:rPr>
              <w:t>。</w:t>
            </w:r>
          </w:p>
        </w:tc>
      </w:tr>
    </w:tbl>
    <w:p w14:paraId="0FC259BC">
      <w:pPr>
        <w:spacing w:line="360" w:lineRule="auto"/>
        <w:jc w:val="left"/>
      </w:pPr>
    </w:p>
    <w:sectPr>
      <w:pgSz w:w="16838" w:h="11906" w:orient="landscape"/>
      <w:pgMar w:top="1800" w:right="1440" w:bottom="1800" w:left="144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919561"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0220D4A9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none"/>
      <w:pStyle w:val="35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33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2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31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32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FjOWYzNTZiYzY2ZWEyNWFjYTMyODVlNGIwMDk1YzgifQ=="/>
  </w:docVars>
  <w:rsids>
    <w:rsidRoot w:val="00000000"/>
    <w:rsid w:val="5F1A25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99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tabs>
        <w:tab w:val="left" w:pos="0"/>
      </w:tabs>
      <w:suppressAutoHyphens/>
      <w:spacing w:before="340" w:after="330" w:line="480" w:lineRule="auto"/>
      <w:ind w:left="432" w:hanging="432"/>
      <w:outlineLvl w:val="0"/>
    </w:pPr>
    <w:rPr>
      <w:b/>
      <w:bCs/>
      <w:kern w:val="1"/>
      <w:sz w:val="44"/>
      <w:szCs w:val="44"/>
      <w:lang w:eastAsia="ar-SA"/>
    </w:rPr>
  </w:style>
  <w:style w:type="paragraph" w:styleId="3">
    <w:name w:val="heading 3"/>
    <w:basedOn w:val="1"/>
    <w:next w:val="1"/>
    <w:link w:val="16"/>
    <w:qFormat/>
    <w:uiPriority w:val="99"/>
    <w:pPr>
      <w:keepNext/>
      <w:keepLines/>
      <w:tabs>
        <w:tab w:val="left" w:pos="0"/>
      </w:tabs>
      <w:suppressAutoHyphens/>
      <w:spacing w:before="260" w:after="260" w:line="412" w:lineRule="auto"/>
      <w:ind w:left="720" w:hanging="720"/>
      <w:outlineLvl w:val="2"/>
    </w:pPr>
    <w:rPr>
      <w:b/>
      <w:bCs/>
      <w:kern w:val="21"/>
      <w:sz w:val="32"/>
      <w:szCs w:val="32"/>
      <w:lang w:eastAsia="ar-SA"/>
    </w:rPr>
  </w:style>
  <w:style w:type="character" w:default="1" w:styleId="12">
    <w:name w:val="Default Paragraph Font"/>
    <w:qFormat/>
    <w:uiPriority w:val="1"/>
  </w:style>
  <w:style w:type="table" w:default="1" w:styleId="10">
    <w:name w:val="Normal Table"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等线" w:hAnsi="等线" w:eastAsia="等线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caption"/>
    <w:basedOn w:val="1"/>
    <w:qFormat/>
    <w:uiPriority w:val="99"/>
    <w:pPr>
      <w:suppressLineNumbers/>
      <w:suppressAutoHyphens/>
      <w:spacing w:before="120" w:after="120"/>
    </w:pPr>
    <w:rPr>
      <w:rFonts w:cs="Mangal"/>
      <w:i/>
      <w:iCs/>
      <w:kern w:val="21"/>
      <w:sz w:val="24"/>
      <w:lang w:eastAsia="ar-SA"/>
    </w:rPr>
  </w:style>
  <w:style w:type="paragraph" w:styleId="5">
    <w:name w:val="Body Text"/>
    <w:basedOn w:val="1"/>
    <w:link w:val="26"/>
    <w:qFormat/>
    <w:uiPriority w:val="0"/>
    <w:pPr>
      <w:spacing w:after="120"/>
    </w:pPr>
  </w:style>
  <w:style w:type="paragraph" w:styleId="6">
    <w:name w:val="Date"/>
    <w:basedOn w:val="1"/>
    <w:next w:val="1"/>
    <w:link w:val="25"/>
    <w:qFormat/>
    <w:uiPriority w:val="99"/>
    <w:pPr>
      <w:ind w:left="100" w:leftChars="2500"/>
    </w:pPr>
  </w:style>
  <w:style w:type="paragraph" w:styleId="7">
    <w:name w:val="Balloon Text"/>
    <w:basedOn w:val="1"/>
    <w:link w:val="22"/>
    <w:qFormat/>
    <w:uiPriority w:val="99"/>
    <w:rPr>
      <w:sz w:val="18"/>
      <w:szCs w:val="18"/>
    </w:rPr>
  </w:style>
  <w:style w:type="paragraph" w:styleId="8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99"/>
    <w:rPr>
      <w:rFonts w:cs="Times New Roman"/>
      <w:b/>
    </w:rPr>
  </w:style>
  <w:style w:type="character" w:styleId="14">
    <w:name w:val="Hyperlink"/>
    <w:basedOn w:val="12"/>
    <w:qFormat/>
    <w:uiPriority w:val="99"/>
    <w:rPr>
      <w:color w:val="0000FF"/>
      <w:u w:val="single"/>
    </w:rPr>
  </w:style>
  <w:style w:type="character" w:customStyle="1" w:styleId="15">
    <w:name w:val="标题 1 Char"/>
    <w:link w:val="2"/>
    <w:qFormat/>
    <w:uiPriority w:val="99"/>
    <w:rPr>
      <w:rFonts w:cs="Times New Roman"/>
      <w:b/>
      <w:kern w:val="1"/>
      <w:sz w:val="44"/>
      <w:lang w:eastAsia="ar-SA" w:bidi="ar-SA"/>
    </w:rPr>
  </w:style>
  <w:style w:type="character" w:customStyle="1" w:styleId="16">
    <w:name w:val="标题 3 Char"/>
    <w:link w:val="3"/>
    <w:qFormat/>
    <w:uiPriority w:val="99"/>
    <w:rPr>
      <w:rFonts w:cs="Times New Roman"/>
      <w:b/>
      <w:kern w:val="21"/>
      <w:sz w:val="32"/>
      <w:lang w:eastAsia="ar-SA" w:bidi="ar-SA"/>
    </w:rPr>
  </w:style>
  <w:style w:type="paragraph" w:styleId="17">
    <w:name w:val="List Paragraph"/>
    <w:basedOn w:val="1"/>
    <w:qFormat/>
    <w:uiPriority w:val="99"/>
    <w:pPr>
      <w:suppressAutoHyphens/>
      <w:ind w:firstLine="420" w:firstLineChars="200"/>
    </w:pPr>
    <w:rPr>
      <w:kern w:val="21"/>
      <w:lang w:eastAsia="ar-SA"/>
    </w:rPr>
  </w:style>
  <w:style w:type="paragraph" w:customStyle="1" w:styleId="18">
    <w:name w:val="段"/>
    <w:link w:val="1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9">
    <w:name w:val="段 Char"/>
    <w:link w:val="18"/>
    <w:qFormat/>
    <w:uiPriority w:val="0"/>
    <w:rPr>
      <w:rFonts w:ascii="宋体" w:cs="Times New Roman"/>
      <w:sz w:val="21"/>
      <w:lang w:val="en-US" w:eastAsia="zh-CN" w:bidi="ar-SA"/>
    </w:rPr>
  </w:style>
  <w:style w:type="character" w:customStyle="1" w:styleId="20">
    <w:name w:val="页眉 Char"/>
    <w:link w:val="9"/>
    <w:qFormat/>
    <w:uiPriority w:val="99"/>
    <w:rPr>
      <w:sz w:val="18"/>
      <w:szCs w:val="18"/>
    </w:rPr>
  </w:style>
  <w:style w:type="character" w:customStyle="1" w:styleId="21">
    <w:name w:val="页脚 Char"/>
    <w:link w:val="8"/>
    <w:qFormat/>
    <w:uiPriority w:val="99"/>
    <w:rPr>
      <w:sz w:val="18"/>
      <w:szCs w:val="18"/>
    </w:rPr>
  </w:style>
  <w:style w:type="character" w:customStyle="1" w:styleId="22">
    <w:name w:val="批注框文本 Char"/>
    <w:link w:val="7"/>
    <w:qFormat/>
    <w:uiPriority w:val="99"/>
    <w:rPr>
      <w:kern w:val="2"/>
      <w:sz w:val="18"/>
      <w:szCs w:val="18"/>
    </w:rPr>
  </w:style>
  <w:style w:type="table" w:customStyle="1" w:styleId="23">
    <w:name w:val="浅色底纹1"/>
    <w:basedOn w:val="10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24">
    <w:name w:val="浅色底纹2"/>
    <w:basedOn w:val="10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5">
    <w:name w:val="日期 Char"/>
    <w:basedOn w:val="12"/>
    <w:link w:val="6"/>
    <w:qFormat/>
    <w:uiPriority w:val="99"/>
    <w:rPr>
      <w:kern w:val="2"/>
      <w:sz w:val="21"/>
      <w:szCs w:val="24"/>
    </w:rPr>
  </w:style>
  <w:style w:type="character" w:customStyle="1" w:styleId="26">
    <w:name w:val="正文文本 Char"/>
    <w:basedOn w:val="12"/>
    <w:link w:val="5"/>
    <w:qFormat/>
    <w:uiPriority w:val="0"/>
    <w:rPr>
      <w:kern w:val="2"/>
      <w:sz w:val="21"/>
      <w:szCs w:val="24"/>
    </w:rPr>
  </w:style>
  <w:style w:type="paragraph" w:customStyle="1" w:styleId="27">
    <w:name w:val="标准文件_段"/>
    <w:link w:val="28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28">
    <w:name w:val="标准文件_段 Char"/>
    <w:link w:val="27"/>
    <w:qFormat/>
    <w:uiPriority w:val="0"/>
    <w:rPr>
      <w:rFonts w:ascii="宋体"/>
      <w:sz w:val="21"/>
    </w:rPr>
  </w:style>
  <w:style w:type="paragraph" w:customStyle="1" w:styleId="29">
    <w:name w:val="标准文件_二级条标题"/>
    <w:next w:val="27"/>
    <w:qFormat/>
    <w:uiPriority w:val="0"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0">
    <w:name w:val="标准文件_三级条标题"/>
    <w:basedOn w:val="29"/>
    <w:next w:val="27"/>
    <w:qFormat/>
    <w:uiPriority w:val="0"/>
    <w:pPr>
      <w:widowControl/>
      <w:numPr>
        <w:ilvl w:val="4"/>
        <w:numId w:val="0"/>
      </w:numPr>
      <w:outlineLvl w:val="3"/>
    </w:pPr>
  </w:style>
  <w:style w:type="paragraph" w:customStyle="1" w:styleId="31">
    <w:name w:val="标准文件_四级条标题"/>
    <w:next w:val="27"/>
    <w:qFormat/>
    <w:uiPriority w:val="0"/>
    <w:pPr>
      <w:widowControl w:val="0"/>
      <w:numPr>
        <w:ilvl w:val="5"/>
        <w:numId w:val="1"/>
      </w:numPr>
      <w:spacing w:beforeLines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2">
    <w:name w:val="标准文件_五级条标题"/>
    <w:next w:val="27"/>
    <w:qFormat/>
    <w:uiPriority w:val="0"/>
    <w:pPr>
      <w:widowControl w:val="0"/>
      <w:numPr>
        <w:ilvl w:val="6"/>
        <w:numId w:val="1"/>
      </w:numPr>
      <w:spacing w:beforeLines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标准文件_章标题"/>
    <w:next w:val="27"/>
    <w:qFormat/>
    <w:uiPriority w:val="0"/>
    <w:pPr>
      <w:numPr>
        <w:ilvl w:val="1"/>
        <w:numId w:val="1"/>
      </w:numPr>
      <w:spacing w:beforeLines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4">
    <w:name w:val="标准文件_一级条标题"/>
    <w:basedOn w:val="33"/>
    <w:next w:val="27"/>
    <w:qFormat/>
    <w:uiPriority w:val="0"/>
    <w:pPr>
      <w:numPr>
        <w:ilvl w:val="2"/>
        <w:numId w:val="0"/>
      </w:numPr>
      <w:spacing w:beforeLines="50" w:afterLines="50"/>
      <w:outlineLvl w:val="1"/>
    </w:pPr>
  </w:style>
  <w:style w:type="paragraph" w:customStyle="1" w:styleId="35">
    <w:name w:val="前言标题"/>
    <w:next w:val="1"/>
    <w:qFormat/>
    <w:uiPriority w:val="0"/>
    <w:pPr>
      <w:numPr>
        <w:ilvl w:val="0"/>
        <w:numId w:val="1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73983A-D6FF-4626-83B2-CAB45B1422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4593</Words>
  <Characters>4839</Characters>
  <Paragraphs>216</Paragraphs>
  <TotalTime>15</TotalTime>
  <ScaleCrop>false</ScaleCrop>
  <LinksUpToDate>false</LinksUpToDate>
  <CharactersWithSpaces>4910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2016-02-23T07:17:00Z</dcterms:created>
  <dc:creator>lenovo</dc:creator>
  <cp:lastModifiedBy>lenovo</cp:lastModifiedBy>
  <cp:lastPrinted>2017-01-17T07:31:00Z</cp:lastPrinted>
  <dcterms:modified xsi:type="dcterms:W3CDTF">2024-08-02T11:21:34Z</dcterms:modified>
  <cp:revision>561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A9630E85DFD947B0B1D58CECCB21E313_13</vt:lpwstr>
  </property>
</Properties>
</file>